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3"/>
        <w:jc w:val="center"/>
        <w:rPr>
          <w:b/>
          <w:sz w:val="36"/>
          <w:szCs w:val="36"/>
        </w:rPr>
      </w:pPr>
    </w:p>
    <w:p>
      <w:pPr>
        <w:ind w:firstLine="723"/>
        <w:jc w:val="center"/>
        <w:rPr>
          <w:b/>
          <w:sz w:val="36"/>
          <w:szCs w:val="36"/>
        </w:rPr>
      </w:pPr>
    </w:p>
    <w:p>
      <w:pPr>
        <w:spacing w:line="480" w:lineRule="auto"/>
        <w:ind w:firstLine="723"/>
        <w:jc w:val="center"/>
        <w:rPr>
          <w:b/>
          <w:sz w:val="36"/>
          <w:szCs w:val="36"/>
        </w:rPr>
      </w:pPr>
      <w:r>
        <w:rPr>
          <w:rFonts w:hint="eastAsia"/>
          <w:b/>
          <w:sz w:val="36"/>
          <w:szCs w:val="36"/>
        </w:rPr>
        <w:t>日照锦昌固体废物处置有限公司</w:t>
      </w:r>
    </w:p>
    <w:p>
      <w:pPr>
        <w:pStyle w:val="2"/>
        <w:ind w:left="480" w:firstLine="480"/>
      </w:pPr>
    </w:p>
    <w:p>
      <w:pPr>
        <w:spacing w:line="480" w:lineRule="auto"/>
        <w:ind w:firstLine="723"/>
        <w:jc w:val="center"/>
        <w:rPr>
          <w:b/>
          <w:sz w:val="36"/>
          <w:szCs w:val="36"/>
        </w:rPr>
      </w:pPr>
      <w:r>
        <w:rPr>
          <w:rFonts w:hint="eastAsia"/>
          <w:b/>
          <w:sz w:val="36"/>
          <w:szCs w:val="36"/>
        </w:rPr>
        <w:t>炭黑用焦化原料油装置优化提升项目</w:t>
      </w:r>
    </w:p>
    <w:p>
      <w:pPr>
        <w:ind w:firstLine="480"/>
      </w:pPr>
    </w:p>
    <w:p>
      <w:pPr>
        <w:pStyle w:val="2"/>
        <w:ind w:left="480" w:firstLine="480"/>
      </w:pPr>
    </w:p>
    <w:p>
      <w:pPr>
        <w:pStyle w:val="2"/>
        <w:ind w:left="480" w:firstLine="480"/>
      </w:pPr>
    </w:p>
    <w:p>
      <w:pPr>
        <w:ind w:firstLine="0" w:firstLineChars="0"/>
        <w:jc w:val="center"/>
        <w:rPr>
          <w:b/>
          <w:sz w:val="36"/>
          <w:szCs w:val="36"/>
        </w:rPr>
      </w:pPr>
      <w:r>
        <w:rPr>
          <w:rFonts w:hint="eastAsia"/>
          <w:b/>
          <w:sz w:val="36"/>
          <w:szCs w:val="36"/>
        </w:rPr>
        <w:t>环境影响评价公众参与说明</w:t>
      </w:r>
    </w:p>
    <w:p>
      <w:pPr>
        <w:pStyle w:val="2"/>
        <w:ind w:left="480" w:firstLine="480"/>
      </w:pPr>
    </w:p>
    <w:p>
      <w:pPr>
        <w:pStyle w:val="2"/>
        <w:ind w:left="480" w:firstLine="480"/>
      </w:pPr>
    </w:p>
    <w:p>
      <w:pPr>
        <w:pStyle w:val="2"/>
        <w:ind w:left="480" w:firstLine="480"/>
      </w:pPr>
    </w:p>
    <w:p>
      <w:pPr>
        <w:pStyle w:val="2"/>
        <w:ind w:left="480" w:firstLine="480"/>
      </w:pPr>
    </w:p>
    <w:p>
      <w:pPr>
        <w:pStyle w:val="2"/>
        <w:ind w:left="480" w:firstLine="480"/>
      </w:pPr>
    </w:p>
    <w:p>
      <w:pPr>
        <w:pStyle w:val="2"/>
        <w:ind w:left="480" w:firstLine="480"/>
      </w:pPr>
    </w:p>
    <w:p>
      <w:pPr>
        <w:pStyle w:val="2"/>
        <w:ind w:left="480" w:firstLine="480"/>
      </w:pPr>
    </w:p>
    <w:p>
      <w:pPr>
        <w:pStyle w:val="2"/>
        <w:ind w:left="480" w:firstLine="480"/>
      </w:pPr>
    </w:p>
    <w:p>
      <w:pPr>
        <w:pStyle w:val="2"/>
        <w:ind w:left="480" w:firstLine="480"/>
      </w:pPr>
    </w:p>
    <w:p>
      <w:pPr>
        <w:pStyle w:val="2"/>
        <w:ind w:left="480" w:firstLine="480"/>
      </w:pPr>
    </w:p>
    <w:p>
      <w:pPr>
        <w:pStyle w:val="2"/>
        <w:ind w:left="480" w:firstLine="480"/>
      </w:pPr>
    </w:p>
    <w:p>
      <w:pPr>
        <w:pStyle w:val="2"/>
        <w:ind w:left="480" w:firstLine="723"/>
        <w:rPr>
          <w:b/>
          <w:sz w:val="36"/>
          <w:szCs w:val="36"/>
        </w:rPr>
      </w:pPr>
      <w:r>
        <w:rPr>
          <w:rFonts w:hint="eastAsia"/>
          <w:b/>
          <w:sz w:val="36"/>
          <w:szCs w:val="36"/>
        </w:rPr>
        <w:t>建设单位：日照锦昌固体废物处置有限公司</w:t>
      </w:r>
    </w:p>
    <w:p>
      <w:pPr>
        <w:pStyle w:val="2"/>
        <w:ind w:left="0" w:leftChars="0" w:firstLine="0" w:firstLineChars="0"/>
        <w:jc w:val="center"/>
        <w:rPr>
          <w:rFonts w:ascii="宋体" w:hAnsi="宋体"/>
          <w:b/>
          <w:bCs/>
          <w:sz w:val="32"/>
          <w:szCs w:val="32"/>
        </w:rPr>
        <w:sectPr>
          <w:headerReference r:id="rId6" w:type="first"/>
          <w:footerReference r:id="rId9" w:type="first"/>
          <w:footerReference r:id="rId7" w:type="default"/>
          <w:headerReference r:id="rId5" w:type="even"/>
          <w:footerReference r:id="rId8" w:type="even"/>
          <w:pgSz w:w="11906" w:h="16838"/>
          <w:pgMar w:top="1440" w:right="1800" w:bottom="1440" w:left="1800" w:header="851" w:footer="992" w:gutter="0"/>
          <w:cols w:space="425" w:num="1"/>
          <w:docGrid w:type="lines" w:linePitch="312" w:charSpace="0"/>
        </w:sectPr>
      </w:pPr>
      <w:r>
        <w:rPr>
          <w:rFonts w:hint="eastAsia"/>
          <w:b/>
          <w:sz w:val="36"/>
          <w:szCs w:val="36"/>
        </w:rPr>
        <w:t>二零二四年</w:t>
      </w:r>
      <w:r>
        <w:rPr>
          <w:rFonts w:hint="eastAsia" w:ascii="宋体" w:hAnsi="宋体"/>
          <w:b/>
          <w:bCs/>
          <w:sz w:val="32"/>
          <w:szCs w:val="32"/>
        </w:rPr>
        <w:t>·三月</w:t>
      </w:r>
    </w:p>
    <w:sdt>
      <w:sdtPr>
        <w:rPr>
          <w:lang w:val="zh-CN"/>
        </w:rPr>
        <w:id w:val="921459975"/>
        <w:docPartObj>
          <w:docPartGallery w:val="Table of Contents"/>
          <w:docPartUnique/>
        </w:docPartObj>
      </w:sdtPr>
      <w:sdtEndPr>
        <w:rPr>
          <w:rFonts w:ascii="Times New Roman" w:hAnsi="Times New Roman" w:eastAsia="宋体" w:cs="Times New Roman"/>
          <w:b/>
          <w:bCs/>
          <w:color w:val="auto"/>
          <w:kern w:val="2"/>
          <w:sz w:val="24"/>
          <w:szCs w:val="22"/>
          <w:lang w:val="zh-CN"/>
        </w:rPr>
      </w:sdtEndPr>
      <w:sdtContent>
        <w:p>
          <w:pPr>
            <w:pStyle w:val="28"/>
            <w:ind w:firstLine="480"/>
            <w:jc w:val="center"/>
            <w:rPr>
              <w:b/>
              <w:bCs/>
              <w:color w:val="auto"/>
              <w:sz w:val="36"/>
              <w:szCs w:val="36"/>
              <w:lang w:val="zh-CN"/>
            </w:rPr>
          </w:pPr>
          <w:r>
            <w:rPr>
              <w:b/>
              <w:bCs/>
              <w:color w:val="auto"/>
              <w:sz w:val="36"/>
              <w:szCs w:val="36"/>
              <w:lang w:val="zh-CN"/>
            </w:rPr>
            <w:t>目录</w:t>
          </w:r>
        </w:p>
        <w:p/>
        <w:p>
          <w:pPr>
            <w:pStyle w:val="16"/>
            <w:tabs>
              <w:tab w:val="right" w:leader="dot" w:pos="8296"/>
            </w:tabs>
            <w:spacing w:line="480" w:lineRule="auto"/>
            <w:ind w:firstLine="480"/>
            <w:rPr>
              <w:b/>
              <w:bCs/>
            </w:rPr>
          </w:pPr>
          <w:r>
            <w:fldChar w:fldCharType="begin"/>
          </w:r>
          <w:r>
            <w:instrText xml:space="preserve"> TOC \o "1-3" \h \z \u </w:instrText>
          </w:r>
          <w:r>
            <w:fldChar w:fldCharType="separate"/>
          </w:r>
          <w:r>
            <w:fldChar w:fldCharType="begin"/>
          </w:r>
          <w:r>
            <w:instrText xml:space="preserve"> HYPERLINK \l "_Toc161233998" </w:instrText>
          </w:r>
          <w:r>
            <w:fldChar w:fldCharType="separate"/>
          </w:r>
          <w:r>
            <w:rPr>
              <w:rStyle w:val="20"/>
              <w:b/>
              <w:bCs/>
            </w:rPr>
            <w:t>1公众参与概述</w:t>
          </w:r>
          <w:r>
            <w:rPr>
              <w:b/>
              <w:bCs/>
            </w:rPr>
            <w:tab/>
          </w:r>
          <w:r>
            <w:rPr>
              <w:b/>
              <w:bCs/>
            </w:rPr>
            <w:fldChar w:fldCharType="begin"/>
          </w:r>
          <w:r>
            <w:rPr>
              <w:b/>
              <w:bCs/>
            </w:rPr>
            <w:instrText xml:space="preserve"> PAGEREF _Toc161233998 \h </w:instrText>
          </w:r>
          <w:r>
            <w:rPr>
              <w:b/>
              <w:bCs/>
            </w:rPr>
            <w:fldChar w:fldCharType="separate"/>
          </w:r>
          <w:r>
            <w:rPr>
              <w:b/>
              <w:bCs/>
            </w:rPr>
            <w:t>1</w:t>
          </w:r>
          <w:r>
            <w:rPr>
              <w:b/>
              <w:bCs/>
            </w:rPr>
            <w:fldChar w:fldCharType="end"/>
          </w:r>
          <w:r>
            <w:rPr>
              <w:b/>
              <w:bCs/>
            </w:rPr>
            <w:fldChar w:fldCharType="end"/>
          </w:r>
        </w:p>
        <w:p>
          <w:pPr>
            <w:pStyle w:val="16"/>
            <w:tabs>
              <w:tab w:val="right" w:leader="dot" w:pos="8296"/>
            </w:tabs>
            <w:spacing w:line="480" w:lineRule="auto"/>
            <w:ind w:firstLine="482"/>
            <w:rPr>
              <w:b/>
              <w:bCs/>
            </w:rPr>
          </w:pPr>
          <w:r>
            <w:fldChar w:fldCharType="begin"/>
          </w:r>
          <w:r>
            <w:instrText xml:space="preserve"> HYPERLINK \l "_Toc161233999" </w:instrText>
          </w:r>
          <w:r>
            <w:fldChar w:fldCharType="separate"/>
          </w:r>
          <w:r>
            <w:rPr>
              <w:rStyle w:val="20"/>
              <w:b/>
              <w:bCs/>
            </w:rPr>
            <w:t>2公众参与原则</w:t>
          </w:r>
          <w:r>
            <w:rPr>
              <w:b/>
              <w:bCs/>
            </w:rPr>
            <w:tab/>
          </w:r>
          <w:r>
            <w:rPr>
              <w:b/>
              <w:bCs/>
            </w:rPr>
            <w:fldChar w:fldCharType="begin"/>
          </w:r>
          <w:r>
            <w:rPr>
              <w:b/>
              <w:bCs/>
            </w:rPr>
            <w:instrText xml:space="preserve"> PAGEREF _Toc161233999 \h </w:instrText>
          </w:r>
          <w:r>
            <w:rPr>
              <w:b/>
              <w:bCs/>
            </w:rPr>
            <w:fldChar w:fldCharType="separate"/>
          </w:r>
          <w:r>
            <w:rPr>
              <w:b/>
              <w:bCs/>
            </w:rPr>
            <w:t>1</w:t>
          </w:r>
          <w:r>
            <w:rPr>
              <w:b/>
              <w:bCs/>
            </w:rPr>
            <w:fldChar w:fldCharType="end"/>
          </w:r>
          <w:r>
            <w:rPr>
              <w:b/>
              <w:bCs/>
            </w:rPr>
            <w:fldChar w:fldCharType="end"/>
          </w:r>
        </w:p>
        <w:p>
          <w:pPr>
            <w:pStyle w:val="16"/>
            <w:tabs>
              <w:tab w:val="right" w:leader="dot" w:pos="8296"/>
            </w:tabs>
            <w:spacing w:line="480" w:lineRule="auto"/>
            <w:ind w:firstLine="482"/>
            <w:rPr>
              <w:b/>
              <w:bCs/>
            </w:rPr>
          </w:pPr>
          <w:r>
            <w:fldChar w:fldCharType="begin"/>
          </w:r>
          <w:r>
            <w:instrText xml:space="preserve"> HYPERLINK \l "_Toc161234000" </w:instrText>
          </w:r>
          <w:r>
            <w:fldChar w:fldCharType="separate"/>
          </w:r>
          <w:r>
            <w:rPr>
              <w:rStyle w:val="20"/>
              <w:b/>
              <w:bCs/>
            </w:rPr>
            <w:t>3第二次环境信息公开</w:t>
          </w:r>
          <w:r>
            <w:rPr>
              <w:b/>
              <w:bCs/>
            </w:rPr>
            <w:tab/>
          </w:r>
          <w:r>
            <w:rPr>
              <w:b/>
              <w:bCs/>
            </w:rPr>
            <w:fldChar w:fldCharType="begin"/>
          </w:r>
          <w:r>
            <w:rPr>
              <w:b/>
              <w:bCs/>
            </w:rPr>
            <w:instrText xml:space="preserve"> PAGEREF _Toc161234000 \h </w:instrText>
          </w:r>
          <w:r>
            <w:rPr>
              <w:b/>
              <w:bCs/>
            </w:rPr>
            <w:fldChar w:fldCharType="separate"/>
          </w:r>
          <w:r>
            <w:rPr>
              <w:b/>
              <w:bCs/>
            </w:rPr>
            <w:t>2</w:t>
          </w:r>
          <w:r>
            <w:rPr>
              <w:b/>
              <w:bCs/>
            </w:rPr>
            <w:fldChar w:fldCharType="end"/>
          </w:r>
          <w:r>
            <w:rPr>
              <w:b/>
              <w:bCs/>
            </w:rPr>
            <w:fldChar w:fldCharType="end"/>
          </w:r>
        </w:p>
        <w:p>
          <w:pPr>
            <w:pStyle w:val="16"/>
            <w:tabs>
              <w:tab w:val="right" w:leader="dot" w:pos="8296"/>
            </w:tabs>
            <w:spacing w:line="480" w:lineRule="auto"/>
            <w:ind w:firstLine="482"/>
            <w:rPr>
              <w:b/>
              <w:bCs/>
            </w:rPr>
          </w:pPr>
          <w:r>
            <w:fldChar w:fldCharType="begin"/>
          </w:r>
          <w:r>
            <w:instrText xml:space="preserve"> HYPERLINK \l "_Toc161234001" </w:instrText>
          </w:r>
          <w:r>
            <w:fldChar w:fldCharType="separate"/>
          </w:r>
          <w:r>
            <w:rPr>
              <w:rStyle w:val="20"/>
              <w:b/>
              <w:bCs/>
            </w:rPr>
            <w:t>4小结</w:t>
          </w:r>
          <w:r>
            <w:rPr>
              <w:b/>
              <w:bCs/>
            </w:rPr>
            <w:tab/>
          </w:r>
          <w:r>
            <w:rPr>
              <w:b/>
              <w:bCs/>
            </w:rPr>
            <w:fldChar w:fldCharType="begin"/>
          </w:r>
          <w:r>
            <w:rPr>
              <w:b/>
              <w:bCs/>
            </w:rPr>
            <w:instrText xml:space="preserve"> PAGEREF _Toc161234001 \h </w:instrText>
          </w:r>
          <w:r>
            <w:rPr>
              <w:b/>
              <w:bCs/>
            </w:rPr>
            <w:fldChar w:fldCharType="separate"/>
          </w:r>
          <w:r>
            <w:rPr>
              <w:b/>
              <w:bCs/>
            </w:rPr>
            <w:t>4</w:t>
          </w:r>
          <w:r>
            <w:rPr>
              <w:b/>
              <w:bCs/>
            </w:rPr>
            <w:fldChar w:fldCharType="end"/>
          </w:r>
          <w:r>
            <w:rPr>
              <w:b/>
              <w:bCs/>
            </w:rPr>
            <w:fldChar w:fldCharType="end"/>
          </w:r>
        </w:p>
        <w:p>
          <w:pPr>
            <w:pStyle w:val="16"/>
            <w:tabs>
              <w:tab w:val="right" w:leader="dot" w:pos="8296"/>
            </w:tabs>
            <w:spacing w:line="480" w:lineRule="auto"/>
            <w:ind w:firstLine="482"/>
            <w:rPr>
              <w:b/>
              <w:bCs/>
            </w:rPr>
          </w:pPr>
          <w:r>
            <w:fldChar w:fldCharType="begin"/>
          </w:r>
          <w:r>
            <w:instrText xml:space="preserve"> HYPERLINK \l "_Toc161234002" </w:instrText>
          </w:r>
          <w:r>
            <w:fldChar w:fldCharType="separate"/>
          </w:r>
          <w:r>
            <w:rPr>
              <w:rStyle w:val="20"/>
              <w:b/>
              <w:bCs/>
            </w:rPr>
            <w:t>附件1：第二次信息公开</w:t>
          </w:r>
          <w:r>
            <w:rPr>
              <w:b/>
              <w:bCs/>
            </w:rPr>
            <w:tab/>
          </w:r>
          <w:r>
            <w:rPr>
              <w:b/>
              <w:bCs/>
            </w:rPr>
            <w:fldChar w:fldCharType="begin"/>
          </w:r>
          <w:r>
            <w:rPr>
              <w:b/>
              <w:bCs/>
            </w:rPr>
            <w:instrText xml:space="preserve"> PAGEREF _Toc161234002 \h </w:instrText>
          </w:r>
          <w:r>
            <w:rPr>
              <w:b/>
              <w:bCs/>
            </w:rPr>
            <w:fldChar w:fldCharType="separate"/>
          </w:r>
          <w:r>
            <w:rPr>
              <w:b/>
              <w:bCs/>
            </w:rPr>
            <w:t>5</w:t>
          </w:r>
          <w:r>
            <w:rPr>
              <w:b/>
              <w:bCs/>
            </w:rPr>
            <w:fldChar w:fldCharType="end"/>
          </w:r>
          <w:r>
            <w:rPr>
              <w:b/>
              <w:bCs/>
            </w:rPr>
            <w:fldChar w:fldCharType="end"/>
          </w:r>
        </w:p>
        <w:p>
          <w:pPr>
            <w:ind w:firstLine="482"/>
          </w:pPr>
          <w:r>
            <w:rPr>
              <w:b/>
              <w:bCs/>
              <w:lang w:val="zh-CN"/>
            </w:rPr>
            <w:fldChar w:fldCharType="end"/>
          </w:r>
        </w:p>
      </w:sdtContent>
    </w:sdt>
    <w:p>
      <w:pPr>
        <w:pStyle w:val="2"/>
        <w:ind w:left="0" w:leftChars="0" w:firstLine="0" w:firstLineChars="0"/>
        <w:jc w:val="center"/>
        <w:rPr>
          <w:rFonts w:ascii="宋体" w:hAnsi="宋体"/>
          <w:b/>
          <w:bCs/>
          <w:sz w:val="32"/>
          <w:szCs w:val="32"/>
        </w:rPr>
        <w:sectPr>
          <w:headerReference r:id="rId10" w:type="default"/>
          <w:footerReference r:id="rId11" w:type="default"/>
          <w:pgSz w:w="11906" w:h="16838"/>
          <w:pgMar w:top="1440" w:right="1800" w:bottom="1440" w:left="1800" w:header="851" w:footer="992" w:gutter="0"/>
          <w:pgNumType w:start="1"/>
          <w:cols w:space="425" w:num="1"/>
          <w:docGrid w:type="lines" w:linePitch="312" w:charSpace="0"/>
        </w:sectPr>
      </w:pPr>
      <w:bookmarkStart w:id="5" w:name="_GoBack"/>
      <w:bookmarkEnd w:id="5"/>
    </w:p>
    <w:p>
      <w:pPr>
        <w:pStyle w:val="4"/>
        <w:numPr>
          <w:ilvl w:val="0"/>
          <w:numId w:val="0"/>
        </w:numPr>
      </w:pPr>
      <w:bookmarkStart w:id="0" w:name="_Toc161233998"/>
      <w:r>
        <w:rPr>
          <w:rFonts w:hint="eastAsia"/>
        </w:rPr>
        <w:t>1公众参与概述</w:t>
      </w:r>
      <w:bookmarkEnd w:id="0"/>
    </w:p>
    <w:p>
      <w:pPr>
        <w:ind w:firstLine="480"/>
      </w:pPr>
      <w:r>
        <w:t>公众参与是环境影响评价的重要部分，是建设单位同公众之间的一种双向交流方式，其目的就是在让群众了解拟建项目的类型、规模、建设地点、主要工程内容、污染物排放状况和采取的治理措施的前提下，充分表达自己的建议、意见并提出相应的要求，并将这些意见和建议逐步落实到具体的评价工作中，确保拟建项目生产的清洁性、先进性和污染防治措施的可行性。</w:t>
      </w:r>
    </w:p>
    <w:p>
      <w:pPr>
        <w:ind w:firstLine="480"/>
      </w:pPr>
      <w:r>
        <w:t>本次公众参与的目的主要是使“</w:t>
      </w:r>
      <w:r>
        <w:rPr>
          <w:rFonts w:hint="eastAsia"/>
        </w:rPr>
        <w:t>日照锦昌固体废物处置有限公司炭黑用焦化原料油装置优化提升项目</w:t>
      </w:r>
      <w:r>
        <w:t>”的规划建设能被评价范围内的公众所了解，通过各种形式的社会调查，了解和反馈拟建项目影响区域各界人士对拟建项目的意见、要求和看法，以便在环评中反映公众的意见和建议，使拟建项目的规划、布局等更完善和合理，制定的环保措施更能符合环境保护和经济协调发展的要求，从而更大限度地发挥拟建项目的综合和长远效益，促进拟建项目的可持续发展。</w:t>
      </w:r>
    </w:p>
    <w:p>
      <w:pPr>
        <w:pStyle w:val="4"/>
        <w:numPr>
          <w:ilvl w:val="0"/>
          <w:numId w:val="0"/>
        </w:numPr>
      </w:pPr>
      <w:bookmarkStart w:id="1" w:name="_Toc161233999"/>
      <w:r>
        <w:rPr>
          <w:rFonts w:hint="eastAsia"/>
        </w:rPr>
        <w:t>2公众参与原则</w:t>
      </w:r>
      <w:bookmarkEnd w:id="1"/>
    </w:p>
    <w:p>
      <w:pPr>
        <w:ind w:firstLine="480"/>
      </w:pPr>
      <w:r>
        <w:t>本次公众参与调查</w:t>
      </w:r>
      <w:r>
        <w:rPr>
          <w:rFonts w:hint="eastAsia"/>
        </w:rPr>
        <w:t>根据</w:t>
      </w:r>
      <w:r>
        <w:t>《环境影响评价公众参与办法》（</w:t>
      </w:r>
      <w:r>
        <w:rPr>
          <w:rFonts w:hint="eastAsia"/>
        </w:rPr>
        <w:t>生态环境部令第4号</w:t>
      </w:r>
      <w:r>
        <w:t>）的要求进行。</w:t>
      </w:r>
    </w:p>
    <w:p>
      <w:pPr>
        <w:ind w:firstLine="480"/>
        <w:rPr>
          <w:rFonts w:ascii="宋体" w:hAnsi="宋体"/>
        </w:rPr>
      </w:pPr>
      <w:r>
        <w:rPr>
          <w:rFonts w:hint="eastAsia"/>
        </w:rPr>
        <w:t>接受项目委托后，参照《环境影响评价公众参与办法》（生态环境部令第4号）第三十一条“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w:t>
      </w:r>
      <w:r>
        <w:rPr>
          <w:rFonts w:hint="eastAsia"/>
          <w:color w:val="333333"/>
        </w:rPr>
        <w:t>（一）免予开展本办法第九条规定的公开程序，相关应当公开的内容纳入本办法第十条规定的公开内容一并公开；（二）本办法第十条第二款和第十一条第一款规定的10个工作日的期限减为5个工作日；（三）免予采用本办法第十一条第一款第三项规定的张贴公告的方式。</w:t>
      </w:r>
      <w:r>
        <w:rPr>
          <w:rFonts w:hint="eastAsia" w:ascii="宋体" w:hAnsi="宋体"/>
        </w:rPr>
        <w:t>”</w:t>
      </w:r>
    </w:p>
    <w:p>
      <w:pPr>
        <w:ind w:firstLine="480"/>
      </w:pPr>
      <w:r>
        <w:rPr>
          <w:rFonts w:hint="eastAsia" w:ascii="宋体" w:hAnsi="宋体"/>
        </w:rPr>
        <w:t>本项目位于日照海右经济开发区内，</w:t>
      </w:r>
      <w:r>
        <w:rPr>
          <w:rFonts w:hint="eastAsia"/>
        </w:rPr>
        <w:t>园区已依法开展了规划环境影响评价公众参与且该建设项目性质、规模等符合经生态环境主管部门组织审查通过的规划环境影响报告书和审查意见，因此本次公参可免于第一次环评公示。</w:t>
      </w:r>
    </w:p>
    <w:p>
      <w:pPr>
        <w:pStyle w:val="4"/>
        <w:numPr>
          <w:ilvl w:val="0"/>
          <w:numId w:val="0"/>
        </w:numPr>
      </w:pPr>
      <w:bookmarkStart w:id="2" w:name="_Toc161234000"/>
      <w:r>
        <w:rPr>
          <w:rFonts w:hint="eastAsia"/>
        </w:rPr>
        <w:t>3第二次环境信息公开</w:t>
      </w:r>
      <w:bookmarkEnd w:id="2"/>
    </w:p>
    <w:p>
      <w:pPr>
        <w:pStyle w:val="2"/>
        <w:ind w:left="0" w:leftChars="0" w:firstLine="0" w:firstLineChars="0"/>
        <w:rPr>
          <w:rFonts w:ascii="宋体" w:hAnsi="宋体"/>
        </w:rPr>
      </w:pPr>
      <w:r>
        <w:rPr>
          <w:rFonts w:hint="eastAsia" w:ascii="宋体" w:hAnsi="宋体"/>
        </w:rPr>
        <w:t>根据</w:t>
      </w:r>
      <w:r>
        <w:rPr>
          <w:rFonts w:hint="eastAsia"/>
        </w:rPr>
        <w:t>《环境影响评价公众参与办法》（生态环境部令第4号）</w:t>
      </w:r>
      <w:r>
        <w:rPr>
          <w:rFonts w:hint="eastAsia" w:ascii="宋体" w:hAnsi="宋体"/>
        </w:rPr>
        <w:t>规定，</w:t>
      </w:r>
      <w:r>
        <w:rPr>
          <w:rFonts w:ascii="宋体" w:hAnsi="宋体"/>
        </w:rPr>
        <w:t>建设单位于</w:t>
      </w:r>
      <w:r>
        <w:rPr>
          <w:rFonts w:hint="eastAsia" w:ascii="宋体" w:hAnsi="宋体"/>
        </w:rPr>
        <w:t>2024年3月2日~2024年3月9日在公司官网</w:t>
      </w:r>
      <w:r>
        <w:rPr>
          <w:rFonts w:hint="eastAsia" w:ascii="宋体" w:hAnsi="宋体" w:cs="宋体"/>
          <w:szCs w:val="24"/>
        </w:rPr>
        <w:t>http://rzjcgf.com/article/?type=detail&amp;id=321，并同期在山东工人报</w:t>
      </w:r>
      <w:r>
        <w:rPr>
          <w:rFonts w:ascii="宋体" w:hAnsi="宋体"/>
        </w:rPr>
        <w:t>发布环境影响评价第</w:t>
      </w:r>
      <w:r>
        <w:rPr>
          <w:rFonts w:hint="eastAsia" w:ascii="宋体" w:hAnsi="宋体"/>
        </w:rPr>
        <w:t>二</w:t>
      </w:r>
      <w:r>
        <w:rPr>
          <w:rFonts w:ascii="宋体" w:hAnsi="宋体"/>
        </w:rPr>
        <w:t>次信息公示</w:t>
      </w:r>
      <w:r>
        <w:rPr>
          <w:rFonts w:hint="eastAsia" w:ascii="宋体" w:hAnsi="宋体"/>
        </w:rPr>
        <w:t>，</w:t>
      </w:r>
      <w:r>
        <w:rPr>
          <w:rFonts w:ascii="宋体" w:hAnsi="宋体"/>
        </w:rPr>
        <w:t>向公众介绍了</w:t>
      </w:r>
      <w:r>
        <w:rPr>
          <w:rFonts w:hint="eastAsia" w:ascii="宋体" w:hAnsi="宋体"/>
        </w:rPr>
        <w:t>项目</w:t>
      </w:r>
      <w:r>
        <w:rPr>
          <w:rFonts w:ascii="宋体" w:hAnsi="宋体"/>
        </w:rPr>
        <w:t>概要、环境影响评价的主要工作内容、征求公众意见的主要事项、公众提出意见的主要方式，并公开了建设单位和环评单位的名称和联系方式。</w:t>
      </w:r>
      <w:r>
        <w:rPr>
          <w:rFonts w:hint="eastAsia" w:ascii="宋体" w:hAnsi="宋体"/>
        </w:rPr>
        <w:t>公示期间未收到反对意见。</w:t>
      </w:r>
    </w:p>
    <w:p>
      <w:pPr>
        <w:pStyle w:val="22"/>
        <w:rPr>
          <w:rFonts w:hint="default" w:ascii="宋体" w:hAnsi="宋体"/>
        </w:rPr>
      </w:pPr>
      <w:r>
        <w:rPr>
          <w:rFonts w:ascii="宋体" w:hAnsi="宋体"/>
        </w:rPr>
        <w:drawing>
          <wp:anchor distT="0" distB="0" distL="114300" distR="114300" simplePos="0" relativeHeight="251660288" behindDoc="0" locked="0" layoutInCell="1" allowOverlap="1">
            <wp:simplePos x="0" y="0"/>
            <wp:positionH relativeFrom="column">
              <wp:posOffset>723265</wp:posOffset>
            </wp:positionH>
            <wp:positionV relativeFrom="page">
              <wp:posOffset>3583305</wp:posOffset>
            </wp:positionV>
            <wp:extent cx="3616325" cy="4487545"/>
            <wp:effectExtent l="0" t="0" r="3175" b="8255"/>
            <wp:wrapTopAndBottom/>
            <wp:docPr id="1" name="图片 1" descr="第二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第二次"/>
                    <pic:cNvPicPr>
                      <a:picLocks noChangeAspect="1"/>
                    </pic:cNvPicPr>
                  </pic:nvPicPr>
                  <pic:blipFill>
                    <a:blip r:embed="rId15"/>
                    <a:stretch>
                      <a:fillRect/>
                    </a:stretch>
                  </pic:blipFill>
                  <pic:spPr>
                    <a:xfrm>
                      <a:off x="0" y="0"/>
                      <a:ext cx="3616325" cy="4487545"/>
                    </a:xfrm>
                    <a:prstGeom prst="rect">
                      <a:avLst/>
                    </a:prstGeom>
                  </pic:spPr>
                </pic:pic>
              </a:graphicData>
            </a:graphic>
          </wp:anchor>
        </w:drawing>
      </w:r>
      <w:r>
        <w:rPr>
          <w:rFonts w:ascii="宋体" w:hAnsi="宋体"/>
        </w:rPr>
        <w:t>图3-1  第二次信息公示网页截图</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2"/>
              <w:rPr>
                <w:rFonts w:hint="default" w:ascii="宋体" w:hAnsi="宋体"/>
              </w:rPr>
            </w:pPr>
            <w:r>
              <w:rPr>
                <w:rFonts w:ascii="宋体" w:hAnsi="宋体" w:cs="宋体"/>
                <w:sz w:val="24"/>
                <w:szCs w:val="24"/>
              </w:rPr>
              <w:drawing>
                <wp:anchor distT="0" distB="0" distL="114300" distR="114300" simplePos="0" relativeHeight="251661312" behindDoc="0" locked="0" layoutInCell="1" allowOverlap="1">
                  <wp:simplePos x="0" y="0"/>
                  <wp:positionH relativeFrom="column">
                    <wp:posOffset>-26035</wp:posOffset>
                  </wp:positionH>
                  <wp:positionV relativeFrom="paragraph">
                    <wp:posOffset>25400</wp:posOffset>
                  </wp:positionV>
                  <wp:extent cx="5253990" cy="3940175"/>
                  <wp:effectExtent l="0" t="0" r="3810" b="3175"/>
                  <wp:wrapTopAndBottom/>
                  <wp:docPr id="2" name="图片 2" descr="6485aed638cfdac4f88851347e5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85aed638cfdac4f88851347e57047"/>
                          <pic:cNvPicPr>
                            <a:picLocks noChangeAspect="1"/>
                          </pic:cNvPicPr>
                        </pic:nvPicPr>
                        <pic:blipFill>
                          <a:blip r:embed="rId16"/>
                          <a:stretch>
                            <a:fillRect/>
                          </a:stretch>
                        </pic:blipFill>
                        <pic:spPr>
                          <a:xfrm>
                            <a:off x="0" y="0"/>
                            <a:ext cx="5253990" cy="39401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2"/>
              <w:rPr>
                <w:rFonts w:hint="default" w:ascii="宋体" w:hAnsi="宋体"/>
              </w:rPr>
            </w:pPr>
            <w:r>
              <w:rPr>
                <w:rFonts w:ascii="宋体" w:hAnsi="宋体" w:cs="宋体"/>
                <w:sz w:val="24"/>
                <w:szCs w:val="24"/>
              </w:rPr>
              <w:drawing>
                <wp:anchor distT="0" distB="0" distL="114300" distR="114300" simplePos="0" relativeHeight="251662336" behindDoc="0" locked="0" layoutInCell="1" allowOverlap="1">
                  <wp:simplePos x="0" y="0"/>
                  <wp:positionH relativeFrom="column">
                    <wp:posOffset>66675</wp:posOffset>
                  </wp:positionH>
                  <wp:positionV relativeFrom="paragraph">
                    <wp:posOffset>-6350</wp:posOffset>
                  </wp:positionV>
                  <wp:extent cx="5264785" cy="3946525"/>
                  <wp:effectExtent l="0" t="0" r="12065" b="15875"/>
                  <wp:wrapTopAndBottom/>
                  <wp:docPr id="3" name="图片 3" descr="0f4458319e076000fa4593a6ff35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f4458319e076000fa4593a6ff35c80"/>
                          <pic:cNvPicPr>
                            <a:picLocks noChangeAspect="1"/>
                          </pic:cNvPicPr>
                        </pic:nvPicPr>
                        <pic:blipFill>
                          <a:blip r:embed="rId17"/>
                          <a:stretch>
                            <a:fillRect/>
                          </a:stretch>
                        </pic:blipFill>
                        <pic:spPr>
                          <a:xfrm>
                            <a:off x="0" y="0"/>
                            <a:ext cx="5264785" cy="39465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2"/>
              <w:rPr>
                <w:rFonts w:hint="default" w:ascii="宋体" w:hAnsi="宋体"/>
              </w:rPr>
            </w:pPr>
            <w:r>
              <w:rPr>
                <w:rFonts w:ascii="宋体" w:hAnsi="宋体"/>
              </w:rPr>
              <w:t xml:space="preserve">图3-2  第二次信息公示报纸  </w:t>
            </w:r>
          </w:p>
        </w:tc>
      </w:tr>
    </w:tbl>
    <w:p>
      <w:pPr>
        <w:pStyle w:val="4"/>
        <w:numPr>
          <w:ilvl w:val="0"/>
          <w:numId w:val="0"/>
        </w:numPr>
      </w:pPr>
      <w:bookmarkStart w:id="3" w:name="_Toc161234001"/>
      <w:r>
        <w:rPr>
          <w:rFonts w:hint="eastAsia"/>
        </w:rPr>
        <w:t>4小结</w:t>
      </w:r>
      <w:bookmarkEnd w:id="3"/>
    </w:p>
    <w:p>
      <w:pPr>
        <w:ind w:firstLine="480"/>
      </w:pPr>
      <w:r>
        <w:t>本次公众参与活动，采取报纸公示和网站等方式向公众公示了本项目的相关环境信息，调查程序符合《环境影响评价公众参与办法》（</w:t>
      </w:r>
      <w:r>
        <w:rPr>
          <w:rFonts w:hint="eastAsia"/>
        </w:rPr>
        <w:t>生态环境部令第4号</w:t>
      </w:r>
      <w:r>
        <w:t>）的相关要求。</w:t>
      </w:r>
      <w:r>
        <w:rPr>
          <w:rFonts w:hint="eastAsia"/>
        </w:rPr>
        <w:t>公示期间</w:t>
      </w:r>
      <w:r>
        <w:t>没有反对意见。</w:t>
      </w:r>
    </w:p>
    <w:p>
      <w:pPr>
        <w:ind w:firstLine="480"/>
      </w:pPr>
      <w:r>
        <w:t>通过本次公众参与活动，了解了公众对拟建项目的关注点与态度。由调查结果可知，公众支持拟建项目的建设。</w:t>
      </w:r>
    </w:p>
    <w:p>
      <w:pPr>
        <w:ind w:firstLine="480"/>
        <w:sectPr>
          <w:headerReference r:id="rId12" w:type="default"/>
          <w:footerReference r:id="rId13" w:type="default"/>
          <w:pgSz w:w="11906" w:h="16838"/>
          <w:pgMar w:top="1440" w:right="1800" w:bottom="1440" w:left="1800" w:header="851" w:footer="992" w:gutter="0"/>
          <w:pgNumType w:fmt="decimal" w:start="1"/>
          <w:cols w:space="425" w:num="1"/>
          <w:docGrid w:type="lines" w:linePitch="312" w:charSpace="0"/>
        </w:sectPr>
      </w:pPr>
    </w:p>
    <w:p>
      <w:pPr>
        <w:pStyle w:val="4"/>
        <w:numPr>
          <w:ilvl w:val="0"/>
          <w:numId w:val="0"/>
        </w:numPr>
      </w:pPr>
      <w:bookmarkStart w:id="4" w:name="_Toc161234002"/>
      <w:r>
        <w:rPr>
          <w:rFonts w:hint="eastAsia"/>
        </w:rPr>
        <w:t>附件1：第二次信息公开</w:t>
      </w:r>
      <w:bookmarkEnd w:id="4"/>
    </w:p>
    <w:p>
      <w:pPr>
        <w:pStyle w:val="27"/>
        <w:spacing w:line="360" w:lineRule="auto"/>
        <w:ind w:firstLine="0" w:firstLineChars="0"/>
        <w:jc w:val="center"/>
        <w:rPr>
          <w:rFonts w:hAnsi="宋体"/>
          <w:b/>
          <w:sz w:val="28"/>
          <w:szCs w:val="28"/>
        </w:rPr>
      </w:pPr>
      <w:r>
        <w:rPr>
          <w:rFonts w:hint="eastAsia" w:hAnsi="宋体"/>
          <w:b/>
          <w:sz w:val="28"/>
          <w:szCs w:val="28"/>
        </w:rPr>
        <w:t>日照锦昌固体废物处置有限公司炭黑用焦化原料油装置优化提升项目</w:t>
      </w:r>
    </w:p>
    <w:p>
      <w:pPr>
        <w:pStyle w:val="27"/>
        <w:spacing w:line="360" w:lineRule="auto"/>
        <w:ind w:firstLine="0" w:firstLineChars="0"/>
        <w:jc w:val="center"/>
        <w:rPr>
          <w:b/>
          <w:sz w:val="28"/>
          <w:szCs w:val="28"/>
        </w:rPr>
      </w:pPr>
      <w:r>
        <w:rPr>
          <w:rFonts w:hAnsi="宋体"/>
          <w:b/>
          <w:sz w:val="28"/>
          <w:szCs w:val="28"/>
        </w:rPr>
        <w:t>环境影响评价第</w:t>
      </w:r>
      <w:r>
        <w:rPr>
          <w:rFonts w:hint="eastAsia" w:hAnsi="宋体"/>
          <w:b/>
          <w:sz w:val="28"/>
          <w:szCs w:val="28"/>
        </w:rPr>
        <w:t>二</w:t>
      </w:r>
      <w:r>
        <w:rPr>
          <w:rFonts w:hAnsi="宋体"/>
          <w:b/>
          <w:sz w:val="28"/>
          <w:szCs w:val="28"/>
        </w:rPr>
        <w:t>次信息公</w:t>
      </w:r>
      <w:r>
        <w:rPr>
          <w:rFonts w:hint="eastAsia" w:hAnsi="宋体"/>
          <w:b/>
          <w:sz w:val="28"/>
          <w:szCs w:val="28"/>
        </w:rPr>
        <w:t>告</w:t>
      </w:r>
    </w:p>
    <w:p>
      <w:pPr>
        <w:ind w:firstLine="480"/>
        <w:rPr>
          <w:szCs w:val="24"/>
        </w:rPr>
      </w:pPr>
      <w:r>
        <w:rPr>
          <w:szCs w:val="24"/>
        </w:rPr>
        <w:t>根据《环境影响评价公众参与办法》(生态环境部第4号令)相关要求，建设项目环境影响报告书征求意见稿形成后应进行第二次公示。根据《环境影响评价公众参与办法》要求，本次公示内容如下：</w:t>
      </w:r>
    </w:p>
    <w:p>
      <w:pPr>
        <w:ind w:firstLine="482"/>
        <w:rPr>
          <w:b/>
          <w:szCs w:val="24"/>
        </w:rPr>
      </w:pPr>
      <w:r>
        <w:rPr>
          <w:b/>
          <w:szCs w:val="24"/>
        </w:rPr>
        <w:t>一、环境影响报告书征求意见稿全文的网络链接及查阅纸质报告书的方式和途径</w:t>
      </w:r>
    </w:p>
    <w:p>
      <w:pPr>
        <w:ind w:firstLine="480"/>
        <w:rPr>
          <w:szCs w:val="24"/>
        </w:rPr>
      </w:pPr>
      <w:r>
        <w:rPr>
          <w:szCs w:val="24"/>
        </w:rPr>
        <w:t>1、征求意见稿网络链接</w:t>
      </w:r>
    </w:p>
    <w:p>
      <w:pPr>
        <w:ind w:firstLine="480"/>
        <w:rPr>
          <w:szCs w:val="24"/>
        </w:rPr>
      </w:pPr>
      <w:r>
        <w:rPr>
          <w:rFonts w:hint="eastAsia"/>
          <w:szCs w:val="24"/>
        </w:rPr>
        <w:t>报告书</w:t>
      </w:r>
      <w:r>
        <w:rPr>
          <w:szCs w:val="24"/>
        </w:rPr>
        <w:t>电子文件获取方式为：</w:t>
      </w:r>
    </w:p>
    <w:p>
      <w:pPr>
        <w:ind w:firstLine="480"/>
        <w:rPr>
          <w:szCs w:val="24"/>
          <w:u w:val="single"/>
        </w:rPr>
      </w:pPr>
      <w:r>
        <w:rPr>
          <w:rFonts w:hint="eastAsia"/>
          <w:szCs w:val="24"/>
          <w:u w:val="single"/>
        </w:rPr>
        <w:t>见附件</w:t>
      </w:r>
    </w:p>
    <w:p>
      <w:pPr>
        <w:ind w:firstLine="480"/>
        <w:rPr>
          <w:szCs w:val="24"/>
        </w:rPr>
      </w:pPr>
      <w:r>
        <w:rPr>
          <w:rFonts w:hint="eastAsia"/>
          <w:szCs w:val="24"/>
        </w:rPr>
        <w:t>2、</w:t>
      </w:r>
      <w:r>
        <w:rPr>
          <w:szCs w:val="24"/>
        </w:rPr>
        <w:t>纸质报告书查阅方式和途径</w:t>
      </w:r>
    </w:p>
    <w:p>
      <w:pPr>
        <w:ind w:firstLine="480"/>
        <w:rPr>
          <w:szCs w:val="24"/>
        </w:rPr>
      </w:pPr>
      <w:r>
        <w:rPr>
          <w:rFonts w:hint="eastAsia"/>
          <w:szCs w:val="24"/>
        </w:rPr>
        <w:t>该项目</w:t>
      </w:r>
      <w:r>
        <w:t>日照锦昌固体废物处置有限公司</w:t>
      </w:r>
      <w:r>
        <w:rPr>
          <w:rFonts w:hint="eastAsia"/>
          <w:szCs w:val="24"/>
        </w:rPr>
        <w:t>环保科</w:t>
      </w:r>
      <w:r>
        <w:rPr>
          <w:szCs w:val="24"/>
        </w:rPr>
        <w:t>，公众可前往查阅。</w:t>
      </w:r>
    </w:p>
    <w:p>
      <w:pPr>
        <w:ind w:firstLine="480"/>
        <w:rPr>
          <w:szCs w:val="24"/>
        </w:rPr>
      </w:pPr>
      <w:r>
        <w:rPr>
          <w:szCs w:val="24"/>
        </w:rPr>
        <w:t>查阅地址：</w:t>
      </w:r>
      <w:r>
        <w:t>日照海右经济开发区日照锦昌固体废物处置有限公司</w:t>
      </w:r>
      <w:r>
        <w:rPr>
          <w:b/>
          <w:bCs/>
          <w:szCs w:val="24"/>
        </w:rPr>
        <w:t>。</w:t>
      </w:r>
    </w:p>
    <w:p>
      <w:pPr>
        <w:ind w:firstLine="482"/>
        <w:rPr>
          <w:b/>
          <w:szCs w:val="24"/>
        </w:rPr>
      </w:pPr>
      <w:r>
        <w:rPr>
          <w:b/>
          <w:szCs w:val="24"/>
        </w:rPr>
        <w:t>二、征求意见的公众范围</w:t>
      </w:r>
    </w:p>
    <w:p>
      <w:pPr>
        <w:ind w:firstLine="480"/>
        <w:rPr>
          <w:szCs w:val="24"/>
        </w:rPr>
      </w:pPr>
      <w:r>
        <w:rPr>
          <w:szCs w:val="24"/>
        </w:rPr>
        <w:t>征求公众意见范围：</w:t>
      </w:r>
      <w:r>
        <w:rPr>
          <w:rFonts w:hint="eastAsia"/>
          <w:szCs w:val="24"/>
        </w:rPr>
        <w:t>项目</w:t>
      </w:r>
      <w:r>
        <w:rPr>
          <w:szCs w:val="24"/>
        </w:rPr>
        <w:t>场址</w:t>
      </w:r>
      <w:r>
        <w:rPr>
          <w:rFonts w:hint="eastAsia"/>
          <w:szCs w:val="24"/>
        </w:rPr>
        <w:t>周边村庄</w:t>
      </w:r>
      <w:r>
        <w:rPr>
          <w:szCs w:val="24"/>
        </w:rPr>
        <w:t>。</w:t>
      </w:r>
    </w:p>
    <w:p>
      <w:pPr>
        <w:ind w:firstLine="482"/>
        <w:rPr>
          <w:b/>
          <w:szCs w:val="24"/>
        </w:rPr>
      </w:pPr>
      <w:r>
        <w:rPr>
          <w:b/>
          <w:szCs w:val="24"/>
        </w:rPr>
        <w:t>三、公众意见表的网络链接</w:t>
      </w:r>
    </w:p>
    <w:p>
      <w:pPr>
        <w:spacing w:line="300" w:lineRule="auto"/>
        <w:ind w:firstLine="480"/>
        <w:rPr>
          <w:szCs w:val="24"/>
        </w:rPr>
      </w:pPr>
      <w:r>
        <w:rPr>
          <w:szCs w:val="24"/>
        </w:rPr>
        <w:t>公众意见表获取网络链接</w:t>
      </w:r>
      <w:r>
        <w:rPr>
          <w:rFonts w:hint="eastAsia"/>
          <w:szCs w:val="24"/>
        </w:rPr>
        <w:t>：</w:t>
      </w:r>
    </w:p>
    <w:p>
      <w:pPr>
        <w:spacing w:line="300" w:lineRule="auto"/>
        <w:ind w:firstLine="420"/>
        <w:rPr>
          <w:rFonts w:hAnsi="宋体"/>
          <w:sz w:val="21"/>
          <w:szCs w:val="21"/>
          <w:u w:val="single"/>
        </w:rPr>
      </w:pPr>
      <w:r>
        <w:rPr>
          <w:rFonts w:hAnsi="宋体"/>
          <w:sz w:val="21"/>
          <w:szCs w:val="21"/>
          <w:u w:val="single"/>
        </w:rPr>
        <w:t>http://www.mee.gov.cn/xxgk2018/xxgk/xxgk01/201810/t20181024_665329.html</w:t>
      </w:r>
    </w:p>
    <w:p>
      <w:pPr>
        <w:ind w:firstLine="482"/>
        <w:rPr>
          <w:b/>
          <w:szCs w:val="24"/>
        </w:rPr>
      </w:pPr>
      <w:r>
        <w:rPr>
          <w:b/>
          <w:szCs w:val="24"/>
        </w:rPr>
        <w:t>四、公众提出意见的方式和途径</w:t>
      </w:r>
    </w:p>
    <w:p>
      <w:pPr>
        <w:spacing w:line="500" w:lineRule="exact"/>
        <w:ind w:firstLine="480"/>
        <w:rPr>
          <w:kern w:val="0"/>
          <w:szCs w:val="24"/>
        </w:rPr>
      </w:pPr>
      <w:r>
        <w:rPr>
          <w:kern w:val="0"/>
          <w:szCs w:val="24"/>
        </w:rPr>
        <w:t>公众可通过电话、邮件、面对面交流等联系方式表达对</w:t>
      </w:r>
      <w:r>
        <w:rPr>
          <w:rFonts w:hint="eastAsia"/>
          <w:kern w:val="0"/>
          <w:szCs w:val="24"/>
        </w:rPr>
        <w:t>该</w:t>
      </w:r>
      <w:r>
        <w:rPr>
          <w:kern w:val="0"/>
          <w:szCs w:val="24"/>
        </w:rPr>
        <w:t>项目的意见及建议。</w:t>
      </w:r>
    </w:p>
    <w:p>
      <w:pPr>
        <w:spacing w:line="300" w:lineRule="auto"/>
        <w:ind w:left="478" w:leftChars="199" w:firstLine="9" w:firstLineChars="4"/>
        <w:rPr>
          <w:szCs w:val="21"/>
        </w:rPr>
      </w:pPr>
      <w:r>
        <w:rPr>
          <w:szCs w:val="24"/>
        </w:rPr>
        <w:t>建设单位：</w:t>
      </w:r>
      <w:r>
        <w:t>日照锦昌固体废物处置有限公司</w:t>
      </w:r>
    </w:p>
    <w:p>
      <w:pPr>
        <w:spacing w:line="500" w:lineRule="exact"/>
        <w:ind w:firstLine="480"/>
        <w:rPr>
          <w:kern w:val="0"/>
          <w:szCs w:val="24"/>
        </w:rPr>
      </w:pPr>
      <w:r>
        <w:rPr>
          <w:kern w:val="0"/>
          <w:szCs w:val="24"/>
        </w:rPr>
        <w:t>联系人：</w:t>
      </w:r>
      <w:r>
        <w:rPr>
          <w:rFonts w:hint="eastAsia" w:hAnsi="宋体"/>
          <w:szCs w:val="21"/>
        </w:rPr>
        <w:t>刘经理</w:t>
      </w:r>
    </w:p>
    <w:p>
      <w:pPr>
        <w:ind w:firstLine="480"/>
        <w:rPr>
          <w:szCs w:val="24"/>
        </w:rPr>
      </w:pPr>
      <w:r>
        <w:rPr>
          <w:rFonts w:hint="eastAsia"/>
          <w:szCs w:val="24"/>
        </w:rPr>
        <w:t>联系电话：15863355546</w:t>
      </w:r>
    </w:p>
    <w:p>
      <w:pPr>
        <w:spacing w:line="500" w:lineRule="exact"/>
        <w:ind w:firstLine="480"/>
        <w:rPr>
          <w:kern w:val="0"/>
          <w:szCs w:val="24"/>
        </w:rPr>
      </w:pPr>
      <w:r>
        <w:rPr>
          <w:kern w:val="0"/>
          <w:szCs w:val="24"/>
        </w:rPr>
        <w:t>E-mail：</w:t>
      </w:r>
      <w:r>
        <w:rPr>
          <w:rFonts w:hint="eastAsia"/>
          <w:kern w:val="0"/>
          <w:szCs w:val="24"/>
        </w:rPr>
        <w:t>rzjcgf@163.com</w:t>
      </w:r>
    </w:p>
    <w:p>
      <w:pPr>
        <w:ind w:firstLine="482"/>
        <w:rPr>
          <w:b/>
          <w:szCs w:val="24"/>
        </w:rPr>
      </w:pPr>
      <w:r>
        <w:rPr>
          <w:b/>
          <w:szCs w:val="24"/>
        </w:rPr>
        <w:t>五、公众提出意见的起止时间</w:t>
      </w:r>
    </w:p>
    <w:p>
      <w:pPr>
        <w:spacing w:line="500" w:lineRule="exact"/>
        <w:ind w:firstLine="480"/>
        <w:rPr>
          <w:szCs w:val="24"/>
        </w:rPr>
      </w:pPr>
      <w:r>
        <w:rPr>
          <w:kern w:val="0"/>
          <w:szCs w:val="24"/>
        </w:rPr>
        <w:t>公众可在本项目公示之日起</w:t>
      </w:r>
      <w:r>
        <w:rPr>
          <w:rFonts w:hint="eastAsia"/>
          <w:kern w:val="0"/>
          <w:szCs w:val="24"/>
        </w:rPr>
        <w:t>5</w:t>
      </w:r>
      <w:r>
        <w:rPr>
          <w:kern w:val="0"/>
          <w:szCs w:val="24"/>
        </w:rPr>
        <w:t>个工作日内，向建设单位提出宝贵意见。建设单位的联系方式见本公示第四条。</w:t>
      </w:r>
    </w:p>
    <w:p>
      <w:pPr>
        <w:ind w:right="360" w:firstLine="482"/>
        <w:jc w:val="right"/>
        <w:rPr>
          <w:rFonts w:ascii="宋体" w:hAnsi="宋体"/>
          <w:b/>
          <w:bCs/>
          <w:lang w:bidi="ar"/>
        </w:rPr>
      </w:pPr>
      <w:r>
        <w:rPr>
          <w:rFonts w:hint="eastAsia" w:ascii="宋体" w:hAnsi="宋体"/>
          <w:b/>
          <w:bCs/>
          <w:lang w:bidi="ar"/>
        </w:rPr>
        <w:t>建设单位：日照锦昌固体废物处置有限公司</w:t>
      </w:r>
    </w:p>
    <w:p>
      <w:pPr>
        <w:ind w:right="360" w:firstLine="482"/>
        <w:jc w:val="right"/>
      </w:pPr>
      <w:r>
        <w:rPr>
          <w:b/>
          <w:szCs w:val="24"/>
        </w:rPr>
        <w:t>202</w:t>
      </w:r>
      <w:r>
        <w:rPr>
          <w:rFonts w:hint="eastAsia"/>
          <w:b/>
          <w:szCs w:val="24"/>
        </w:rPr>
        <w:t>4</w:t>
      </w:r>
      <w:r>
        <w:rPr>
          <w:b/>
          <w:szCs w:val="24"/>
        </w:rPr>
        <w:t>年</w:t>
      </w:r>
      <w:r>
        <w:rPr>
          <w:rFonts w:hint="eastAsia"/>
          <w:b/>
          <w:szCs w:val="24"/>
        </w:rPr>
        <w:t>03</w:t>
      </w:r>
      <w:r>
        <w:rPr>
          <w:b/>
          <w:szCs w:val="24"/>
        </w:rPr>
        <w:t>月</w:t>
      </w:r>
      <w:r>
        <w:rPr>
          <w:rFonts w:hint="eastAsia"/>
          <w:b/>
          <w:szCs w:val="24"/>
        </w:rPr>
        <w:t>04</w:t>
      </w:r>
      <w:r>
        <w:rPr>
          <w:b/>
          <w:szCs w:val="24"/>
        </w:rPr>
        <w:t>日</w:t>
      </w:r>
    </w:p>
    <w:sectPr>
      <w:pgSz w:w="11906" w:h="16838"/>
      <w:pgMar w:top="1440" w:right="1080" w:bottom="1440" w:left="108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right"/>
      <w:rPr>
        <w:rFonts w:hint="default"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column">
                <wp:posOffset>41910</wp:posOffset>
              </wp:positionH>
              <wp:positionV relativeFrom="paragraph">
                <wp:posOffset>6985</wp:posOffset>
              </wp:positionV>
              <wp:extent cx="5238750" cy="9525"/>
              <wp:effectExtent l="0" t="0" r="0" b="0"/>
              <wp:wrapNone/>
              <wp:docPr id="6" name="直接连接符 6"/>
              <wp:cNvGraphicFramePr/>
              <a:graphic xmlns:a="http://schemas.openxmlformats.org/drawingml/2006/main">
                <a:graphicData uri="http://schemas.microsoft.com/office/word/2010/wordprocessingShape">
                  <wps:wsp>
                    <wps:cNvCnPr/>
                    <wps:spPr>
                      <a:xfrm flipV="1">
                        <a:off x="1184910" y="9789795"/>
                        <a:ext cx="52387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3pt;margin-top:0.55pt;height:0.75pt;width:412.5pt;z-index:251660288;mso-width-relative:page;mso-height-relative:page;" filled="f" stroked="t" coordsize="21600,21600" o:gfxdata="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Ar6Om0gAAAAUBAAAPAAAAAAAAAAEAIAAAACIAAABkcnMvZG93bnJldi54bWxQSwEC&#10;FAAUAAAACACHTuJAtbZAZvoBAADKAwAADgAAAAAAAAABACAAAAAhAQAAZHJzL2Uyb0RvYy54bWxQ&#10;SwUGAAAAAAYABgBZAQAAjQUAAAAA&#10;">
              <v:fill on="f" focussize="0,0"/>
              <v:stroke weight="0.5pt" color="#000000 [3213]" miterlimit="8" joinstyle="miter"/>
              <v:imagedata o:title=""/>
              <o:lock v:ext="edit" aspectratio="f"/>
            </v:lin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sdt>
      <w:sdtPr>
        <w:rPr>
          <w:rFonts w:hint="default"/>
          <w:lang w:val="en-US"/>
        </w:rPr>
        <w:id w:val="-883251156"/>
        <w:docPartObj>
          <w:docPartGallery w:val="AutoText"/>
        </w:docPartObj>
      </w:sdtPr>
      <w:sdtContent/>
    </w:sdt>
    <w:r>
      <w:rPr>
        <w:rFonts w:hint="eastAsia"/>
        <w:lang w:val="en-US" w:eastAsia="zh-CN"/>
      </w:rPr>
      <w:t xml:space="preserve">         </w:t>
    </w:r>
    <w:r>
      <w:rPr>
        <w:rFonts w:hint="eastAsia"/>
      </w:rPr>
      <w:t xml:space="preserve"> 日照锦昌固体废物处置有限公司</w:t>
    </w:r>
  </w:p>
  <w:p>
    <w:pPr>
      <w:pStyle w:val="14"/>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rPr>
        <w:rFonts w:hint="eastAsia"/>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left="0" w:leftChars="0" w:firstLine="180" w:firstLineChars="100"/>
      <w:jc w:val="both"/>
      <w:rPr>
        <w:rFonts w:hint="default"/>
        <w:lang w:val="en-US" w:eastAsia="zh-CN"/>
      </w:rPr>
    </w:pPr>
    <w:r>
      <w:rPr>
        <w:rFonts w:hint="eastAsia"/>
        <w:lang w:val="en-US" w:eastAsia="zh-CN"/>
      </w:rPr>
      <w:t>炭黑用焦化原料油装置优化提升项目                                                 公众参与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B76672"/>
    <w:multiLevelType w:val="multilevel"/>
    <w:tmpl w:val="10B76672"/>
    <w:lvl w:ilvl="0" w:tentative="0">
      <w:start w:val="1"/>
      <w:numFmt w:val="decimal"/>
      <w:pStyle w:val="4"/>
      <w:lvlText w:val="%1"/>
      <w:lvlJc w:val="left"/>
      <w:pPr>
        <w:tabs>
          <w:tab w:val="left" w:pos="432"/>
        </w:tabs>
        <w:ind w:left="432" w:hanging="432"/>
      </w:pPr>
      <w:rPr>
        <w:rFonts w:hint="eastAsia"/>
      </w:rPr>
    </w:lvl>
    <w:lvl w:ilvl="1" w:tentative="0">
      <w:start w:val="1"/>
      <w:numFmt w:val="decimal"/>
      <w:lvlText w:val="%1.%2"/>
      <w:lvlJc w:val="left"/>
      <w:pPr>
        <w:tabs>
          <w:tab w:val="left" w:pos="1836"/>
        </w:tabs>
        <w:ind w:left="1836" w:hanging="576"/>
      </w:pPr>
      <w:rPr>
        <w:rFonts w:hint="eastAsia"/>
      </w:rPr>
    </w:lvl>
    <w:lvl w:ilvl="2" w:tentative="0">
      <w:start w:val="1"/>
      <w:numFmt w:val="decimal"/>
      <w:lvlText w:val="%1.%2.%3"/>
      <w:lvlJc w:val="left"/>
      <w:pPr>
        <w:tabs>
          <w:tab w:val="left" w:pos="3780"/>
        </w:tabs>
        <w:ind w:left="3780" w:hanging="720"/>
      </w:pPr>
      <w:rPr>
        <w:rFonts w:hint="eastAsia" w:ascii="Times New Roman" w:hAnsi="Times New Roman" w:eastAsia="宋体"/>
        <w:b w:val="0"/>
        <w:bCs w:val="0"/>
        <w:i w:val="0"/>
        <w:iCs w:val="0"/>
        <w:caps w:val="0"/>
        <w:smallCaps w:val="0"/>
        <w:strike w:val="0"/>
        <w:dstrike w:val="0"/>
        <w:outline w:val="0"/>
        <w:shadow w:val="0"/>
        <w:emboss w:val="0"/>
        <w:imprint w:val="0"/>
        <w:color w:val="auto"/>
        <w:spacing w:val="0"/>
        <w:w w:val="100"/>
        <w:kern w:val="2"/>
        <w:position w:val="0"/>
        <w:sz w:val="24"/>
        <w:u w:val="none"/>
        <w:shd w:val="clear" w:color="auto" w:fill="auto"/>
      </w:rPr>
    </w:lvl>
    <w:lvl w:ilvl="3" w:tentative="0">
      <w:start w:val="1"/>
      <w:numFmt w:val="decimal"/>
      <w:lvlText w:val="%1.%2.%3.%4"/>
      <w:lvlJc w:val="left"/>
      <w:pPr>
        <w:tabs>
          <w:tab w:val="left" w:pos="3024"/>
        </w:tabs>
        <w:ind w:left="3024" w:hanging="864"/>
      </w:pPr>
      <w:rPr>
        <w:rFonts w:hint="eastAsia"/>
      </w:rPr>
    </w:lvl>
    <w:lvl w:ilvl="4" w:tentative="0">
      <w:start w:val="1"/>
      <w:numFmt w:val="decimal"/>
      <w:pStyle w:val="8"/>
      <w:lvlText w:val="%1.%2.%3.%4.%5"/>
      <w:lvlJc w:val="left"/>
      <w:pPr>
        <w:tabs>
          <w:tab w:val="left" w:pos="1008"/>
        </w:tabs>
        <w:ind w:left="1008" w:hanging="1008"/>
      </w:pPr>
      <w:rPr>
        <w:rFonts w:hint="eastAsia"/>
      </w:rPr>
    </w:lvl>
    <w:lvl w:ilvl="5" w:tentative="0">
      <w:start w:val="1"/>
      <w:numFmt w:val="decimal"/>
      <w:pStyle w:val="9"/>
      <w:lvlText w:val="%1.%2.%3.%4.%5.%6"/>
      <w:lvlJc w:val="left"/>
      <w:pPr>
        <w:tabs>
          <w:tab w:val="left" w:pos="1152"/>
        </w:tabs>
        <w:ind w:left="1152" w:hanging="1152"/>
      </w:pPr>
      <w:rPr>
        <w:rFonts w:hint="eastAsia"/>
      </w:rPr>
    </w:lvl>
    <w:lvl w:ilvl="6" w:tentative="0">
      <w:start w:val="1"/>
      <w:numFmt w:val="decimal"/>
      <w:pStyle w:val="10"/>
      <w:lvlText w:val="%1.%2.%3.%4.%5.%6.%7"/>
      <w:lvlJc w:val="left"/>
      <w:pPr>
        <w:tabs>
          <w:tab w:val="left" w:pos="1296"/>
        </w:tabs>
        <w:ind w:left="1296" w:hanging="1296"/>
      </w:pPr>
      <w:rPr>
        <w:rFonts w:hint="eastAsia"/>
      </w:rPr>
    </w:lvl>
    <w:lvl w:ilvl="7" w:tentative="0">
      <w:start w:val="1"/>
      <w:numFmt w:val="decimal"/>
      <w:pStyle w:val="11"/>
      <w:lvlText w:val="%1.%2.%3.%4.%5.%6.%7.%8"/>
      <w:lvlJc w:val="left"/>
      <w:pPr>
        <w:tabs>
          <w:tab w:val="left" w:pos="1440"/>
        </w:tabs>
        <w:ind w:left="1440" w:hanging="1440"/>
      </w:pPr>
      <w:rPr>
        <w:rFonts w:hint="eastAsia"/>
      </w:rPr>
    </w:lvl>
    <w:lvl w:ilvl="8" w:tentative="0">
      <w:start w:val="1"/>
      <w:numFmt w:val="decimal"/>
      <w:pStyle w:val="12"/>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zZjAzZTY0YTc3NDBmMDc1ODc2N2QzMWIzY2FhNzAifQ=="/>
    <w:docVar w:name="KSO_WPS_MARK_KEY" w:val="a915e030-0af1-43c8-8cf7-c8f313d57b11"/>
  </w:docVars>
  <w:rsids>
    <w:rsidRoot w:val="00FD719D"/>
    <w:rsid w:val="001107EA"/>
    <w:rsid w:val="00E27C08"/>
    <w:rsid w:val="00FD719D"/>
    <w:rsid w:val="015F43CE"/>
    <w:rsid w:val="036D28B4"/>
    <w:rsid w:val="04A7203F"/>
    <w:rsid w:val="06F15AA5"/>
    <w:rsid w:val="0C1110C3"/>
    <w:rsid w:val="0DC335D1"/>
    <w:rsid w:val="132F0981"/>
    <w:rsid w:val="15F62273"/>
    <w:rsid w:val="17102751"/>
    <w:rsid w:val="1BC95115"/>
    <w:rsid w:val="222876E9"/>
    <w:rsid w:val="22C62493"/>
    <w:rsid w:val="23124AC0"/>
    <w:rsid w:val="235D2AA5"/>
    <w:rsid w:val="250D49A7"/>
    <w:rsid w:val="25410F94"/>
    <w:rsid w:val="25D5617C"/>
    <w:rsid w:val="27054714"/>
    <w:rsid w:val="27335F39"/>
    <w:rsid w:val="285E0D94"/>
    <w:rsid w:val="28BA4ECD"/>
    <w:rsid w:val="2B4D2AC1"/>
    <w:rsid w:val="2CE12482"/>
    <w:rsid w:val="2D1172B5"/>
    <w:rsid w:val="301306B6"/>
    <w:rsid w:val="307A2270"/>
    <w:rsid w:val="361515D0"/>
    <w:rsid w:val="37837C7C"/>
    <w:rsid w:val="399C7DA2"/>
    <w:rsid w:val="39FA394E"/>
    <w:rsid w:val="3C26343D"/>
    <w:rsid w:val="3DCC4DE4"/>
    <w:rsid w:val="3EFC4A0B"/>
    <w:rsid w:val="44924BC6"/>
    <w:rsid w:val="46B31985"/>
    <w:rsid w:val="46DA40F6"/>
    <w:rsid w:val="49E71F45"/>
    <w:rsid w:val="4A7D3839"/>
    <w:rsid w:val="4ABD6D0A"/>
    <w:rsid w:val="4D1711EF"/>
    <w:rsid w:val="501E180F"/>
    <w:rsid w:val="50F82D67"/>
    <w:rsid w:val="54621CE8"/>
    <w:rsid w:val="575B1895"/>
    <w:rsid w:val="5E7F1913"/>
    <w:rsid w:val="616E45A2"/>
    <w:rsid w:val="65C028F8"/>
    <w:rsid w:val="6630698F"/>
    <w:rsid w:val="69A805BF"/>
    <w:rsid w:val="6D0E3FFC"/>
    <w:rsid w:val="70850625"/>
    <w:rsid w:val="72CF1395"/>
    <w:rsid w:val="73DE65D1"/>
    <w:rsid w:val="748135A2"/>
    <w:rsid w:val="7C7D14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4">
    <w:name w:val="heading 1"/>
    <w:basedOn w:val="1"/>
    <w:next w:val="1"/>
    <w:link w:val="24"/>
    <w:qFormat/>
    <w:uiPriority w:val="0"/>
    <w:pPr>
      <w:keepNext/>
      <w:keepLines/>
      <w:numPr>
        <w:ilvl w:val="0"/>
        <w:numId w:val="1"/>
      </w:numPr>
      <w:ind w:firstLineChars="0"/>
      <w:jc w:val="left"/>
      <w:outlineLvl w:val="0"/>
    </w:pPr>
    <w:rPr>
      <w:b/>
      <w:bCs/>
      <w:kern w:val="44"/>
      <w:sz w:val="32"/>
      <w:szCs w:val="44"/>
    </w:rPr>
  </w:style>
  <w:style w:type="paragraph" w:styleId="5">
    <w:name w:val="heading 2"/>
    <w:basedOn w:val="1"/>
    <w:next w:val="1"/>
    <w:link w:val="25"/>
    <w:semiHidden/>
    <w:unhideWhenUsed/>
    <w:qFormat/>
    <w:uiPriority w:val="0"/>
    <w:pPr>
      <w:keepNext/>
      <w:keepLines/>
      <w:outlineLvl w:val="1"/>
    </w:pPr>
    <w:rPr>
      <w:rFonts w:ascii="Arial" w:hAnsi="Arial"/>
      <w:b/>
      <w:sz w:val="28"/>
    </w:rPr>
  </w:style>
  <w:style w:type="paragraph" w:styleId="6">
    <w:name w:val="heading 3"/>
    <w:basedOn w:val="1"/>
    <w:next w:val="1"/>
    <w:link w:val="26"/>
    <w:semiHidden/>
    <w:unhideWhenUsed/>
    <w:qFormat/>
    <w:uiPriority w:val="0"/>
    <w:pPr>
      <w:keepNext/>
      <w:keepLines/>
      <w:outlineLvl w:val="2"/>
    </w:pPr>
    <w:rPr>
      <w:b/>
    </w:rPr>
  </w:style>
  <w:style w:type="paragraph" w:styleId="7">
    <w:name w:val="heading 4"/>
    <w:basedOn w:val="1"/>
    <w:next w:val="1"/>
    <w:semiHidden/>
    <w:unhideWhenUsed/>
    <w:qFormat/>
    <w:uiPriority w:val="0"/>
    <w:pPr>
      <w:keepNext/>
      <w:keepLines/>
      <w:outlineLvl w:val="3"/>
    </w:pPr>
    <w:rPr>
      <w:rFonts w:ascii="Arial" w:hAnsi="Arial"/>
      <w:b/>
    </w:rPr>
  </w:style>
  <w:style w:type="paragraph" w:styleId="8">
    <w:name w:val="heading 5"/>
    <w:basedOn w:val="1"/>
    <w:next w:val="1"/>
    <w:semiHidden/>
    <w:unhideWhenUsed/>
    <w:qFormat/>
    <w:uiPriority w:val="0"/>
    <w:pPr>
      <w:keepNext/>
      <w:keepLines/>
      <w:numPr>
        <w:ilvl w:val="4"/>
        <w:numId w:val="1"/>
      </w:numPr>
      <w:spacing w:before="280" w:after="290" w:line="372" w:lineRule="auto"/>
      <w:ind w:firstLineChars="0"/>
      <w:outlineLvl w:val="4"/>
    </w:pPr>
    <w:rPr>
      <w:b/>
      <w:sz w:val="28"/>
    </w:rPr>
  </w:style>
  <w:style w:type="paragraph" w:styleId="9">
    <w:name w:val="heading 6"/>
    <w:basedOn w:val="1"/>
    <w:next w:val="1"/>
    <w:semiHidden/>
    <w:unhideWhenUsed/>
    <w:qFormat/>
    <w:uiPriority w:val="0"/>
    <w:pPr>
      <w:keepNext/>
      <w:keepLines/>
      <w:numPr>
        <w:ilvl w:val="5"/>
        <w:numId w:val="1"/>
      </w:numPr>
      <w:spacing w:before="240" w:after="64" w:line="317" w:lineRule="auto"/>
      <w:ind w:firstLineChars="0"/>
      <w:outlineLvl w:val="5"/>
    </w:pPr>
    <w:rPr>
      <w:rFonts w:ascii="Arial" w:hAnsi="Arial" w:eastAsia="黑体"/>
      <w:b/>
    </w:rPr>
  </w:style>
  <w:style w:type="paragraph" w:styleId="10">
    <w:name w:val="heading 7"/>
    <w:basedOn w:val="1"/>
    <w:next w:val="1"/>
    <w:semiHidden/>
    <w:unhideWhenUsed/>
    <w:qFormat/>
    <w:uiPriority w:val="0"/>
    <w:pPr>
      <w:keepNext/>
      <w:keepLines/>
      <w:numPr>
        <w:ilvl w:val="6"/>
        <w:numId w:val="1"/>
      </w:numPr>
      <w:spacing w:before="240" w:after="64" w:line="317" w:lineRule="auto"/>
      <w:ind w:firstLineChars="0"/>
      <w:outlineLvl w:val="6"/>
    </w:pPr>
    <w:rPr>
      <w:b/>
    </w:rPr>
  </w:style>
  <w:style w:type="paragraph" w:styleId="11">
    <w:name w:val="heading 8"/>
    <w:basedOn w:val="1"/>
    <w:next w:val="1"/>
    <w:semiHidden/>
    <w:unhideWhenUsed/>
    <w:qFormat/>
    <w:uiPriority w:val="0"/>
    <w:pPr>
      <w:keepNext/>
      <w:keepLines/>
      <w:numPr>
        <w:ilvl w:val="7"/>
        <w:numId w:val="1"/>
      </w:numPr>
      <w:spacing w:before="240" w:after="64" w:line="317" w:lineRule="auto"/>
      <w:ind w:firstLineChars="0"/>
      <w:outlineLvl w:val="7"/>
    </w:pPr>
    <w:rPr>
      <w:rFonts w:ascii="Arial" w:hAnsi="Arial" w:eastAsia="黑体"/>
    </w:rPr>
  </w:style>
  <w:style w:type="paragraph" w:styleId="12">
    <w:name w:val="heading 9"/>
    <w:basedOn w:val="1"/>
    <w:next w:val="1"/>
    <w:semiHidden/>
    <w:unhideWhenUsed/>
    <w:qFormat/>
    <w:uiPriority w:val="0"/>
    <w:pPr>
      <w:keepNext/>
      <w:keepLines/>
      <w:numPr>
        <w:ilvl w:val="8"/>
        <w:numId w:val="1"/>
      </w:numPr>
      <w:spacing w:before="240" w:after="64" w:line="317" w:lineRule="auto"/>
      <w:ind w:firstLineChars="0"/>
      <w:outlineLvl w:val="8"/>
    </w:pPr>
    <w:rPr>
      <w:rFonts w:ascii="Arial" w:hAnsi="Arial" w:eastAsia="黑体"/>
      <w:sz w:val="21"/>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qFormat/>
    <w:uiPriority w:val="0"/>
    <w:pPr>
      <w:spacing w:after="120"/>
      <w:ind w:left="420" w:leftChars="200"/>
    </w:pPr>
  </w:style>
  <w:style w:type="paragraph" w:styleId="13">
    <w:name w:val="Body Text"/>
    <w:basedOn w:val="1"/>
    <w:qFormat/>
    <w:uiPriority w:val="0"/>
    <w:rPr>
      <w:rFonts w:cs="宋体"/>
      <w:szCs w:val="24"/>
      <w:lang w:val="zh-CN" w:bidi="zh-CN"/>
    </w:rPr>
  </w:style>
  <w:style w:type="paragraph" w:styleId="14">
    <w:name w:val="footer"/>
    <w:basedOn w:val="1"/>
    <w:link w:val="29"/>
    <w:unhideWhenUsed/>
    <w:qFormat/>
    <w:uiPriority w:val="99"/>
    <w:pPr>
      <w:tabs>
        <w:tab w:val="center" w:pos="4153"/>
        <w:tab w:val="right" w:pos="8306"/>
      </w:tabs>
      <w:snapToGrid w:val="0"/>
      <w:spacing w:line="240" w:lineRule="auto"/>
      <w:jc w:val="left"/>
    </w:pPr>
    <w:rPr>
      <w:sz w:val="18"/>
      <w:szCs w:val="18"/>
    </w:rPr>
  </w:style>
  <w:style w:type="paragraph" w:styleId="15">
    <w:name w:val="header"/>
    <w:basedOn w:val="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qFormat/>
    <w:uiPriority w:val="39"/>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paragraph" w:customStyle="1" w:styleId="21">
    <w:name w:val="表格标题"/>
    <w:basedOn w:val="1"/>
    <w:qFormat/>
    <w:uiPriority w:val="0"/>
    <w:pPr>
      <w:jc w:val="center"/>
    </w:pPr>
    <w:rPr>
      <w:rFonts w:asciiTheme="minorHAnsi" w:hAnsiTheme="minorHAnsi"/>
      <w:b/>
    </w:rPr>
  </w:style>
  <w:style w:type="paragraph" w:customStyle="1" w:styleId="22">
    <w:name w:val="图标题"/>
    <w:basedOn w:val="1"/>
    <w:qFormat/>
    <w:uiPriority w:val="0"/>
    <w:pPr>
      <w:ind w:firstLine="0" w:firstLineChars="0"/>
      <w:jc w:val="center"/>
    </w:pPr>
    <w:rPr>
      <w:rFonts w:hint="eastAsia"/>
      <w:b/>
      <w:color w:val="000000"/>
      <w:sz w:val="21"/>
    </w:rPr>
  </w:style>
  <w:style w:type="paragraph" w:customStyle="1" w:styleId="23">
    <w:name w:val="西王-标题"/>
    <w:basedOn w:val="1"/>
    <w:next w:val="1"/>
    <w:qFormat/>
    <w:uiPriority w:val="0"/>
    <w:pPr>
      <w:keepNext/>
      <w:keepLines/>
      <w:jc w:val="center"/>
      <w:outlineLvl w:val="0"/>
    </w:pPr>
    <w:rPr>
      <w:rFonts w:hint="eastAsia" w:ascii="宋体" w:hAnsi="宋体" w:cs="宋体"/>
      <w:bCs/>
      <w:kern w:val="44"/>
      <w:sz w:val="44"/>
    </w:rPr>
  </w:style>
  <w:style w:type="character" w:customStyle="1" w:styleId="24">
    <w:name w:val="标题 1 字符"/>
    <w:link w:val="4"/>
    <w:qFormat/>
    <w:uiPriority w:val="9"/>
    <w:rPr>
      <w:rFonts w:ascii="宋体" w:hAnsi="宋体" w:eastAsia="Times New Roman"/>
      <w:b/>
      <w:bCs/>
      <w:kern w:val="44"/>
      <w:sz w:val="32"/>
      <w:szCs w:val="44"/>
    </w:rPr>
  </w:style>
  <w:style w:type="character" w:customStyle="1" w:styleId="25">
    <w:name w:val="标题 2 字符"/>
    <w:link w:val="5"/>
    <w:qFormat/>
    <w:uiPriority w:val="0"/>
    <w:rPr>
      <w:rFonts w:ascii="Arial" w:hAnsi="Arial" w:eastAsia="宋体"/>
      <w:b/>
      <w:bCs/>
      <w:sz w:val="30"/>
      <w:szCs w:val="22"/>
    </w:rPr>
  </w:style>
  <w:style w:type="character" w:customStyle="1" w:styleId="26">
    <w:name w:val="标题 3 字符"/>
    <w:link w:val="6"/>
    <w:qFormat/>
    <w:uiPriority w:val="0"/>
    <w:rPr>
      <w:rFonts w:ascii="Times New Roman" w:hAnsi="Times New Roman" w:eastAsia="宋体"/>
      <w:b/>
      <w:kern w:val="2"/>
      <w:sz w:val="28"/>
      <w:szCs w:val="22"/>
    </w:rPr>
  </w:style>
  <w:style w:type="paragraph" w:customStyle="1" w:styleId="27">
    <w:name w:val="报告书正文"/>
    <w:basedOn w:val="1"/>
    <w:qFormat/>
    <w:uiPriority w:val="0"/>
    <w:pPr>
      <w:adjustRightInd w:val="0"/>
      <w:spacing w:line="360" w:lineRule="atLeast"/>
      <w:ind w:firstLine="425"/>
      <w:textAlignment w:val="baseline"/>
    </w:pPr>
    <w:rPr>
      <w:kern w:val="0"/>
      <w:szCs w:val="20"/>
    </w:rPr>
  </w:style>
  <w:style w:type="paragraph" w:customStyle="1" w:styleId="28">
    <w:name w:val="TOC Heading"/>
    <w:basedOn w:val="4"/>
    <w:next w:val="1"/>
    <w:unhideWhenUsed/>
    <w:qFormat/>
    <w:uiPriority w:val="39"/>
    <w:pPr>
      <w:widowControl/>
      <w:numPr>
        <w:numId w:val="0"/>
      </w:numPr>
      <w:tabs>
        <w:tab w:val="clear" w:pos="432"/>
      </w:tabs>
      <w:spacing w:before="240" w:line="259" w:lineRule="auto"/>
      <w:outlineLvl w:val="9"/>
    </w:pPr>
    <w:rPr>
      <w:rFonts w:asciiTheme="majorHAnsi" w:hAnsiTheme="majorHAnsi" w:eastAsiaTheme="majorEastAsia" w:cstheme="majorBidi"/>
      <w:b w:val="0"/>
      <w:bCs w:val="0"/>
      <w:color w:val="2E75B6" w:themeColor="accent1" w:themeShade="BF"/>
      <w:kern w:val="0"/>
      <w:szCs w:val="32"/>
    </w:rPr>
  </w:style>
  <w:style w:type="character" w:customStyle="1" w:styleId="29">
    <w:name w:val="页脚 字符"/>
    <w:basedOn w:val="19"/>
    <w:link w:val="14"/>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57AE4A-E420-4460-A89F-688483F4DF6C}">
  <ds:schemaRefs/>
</ds:datastoreItem>
</file>

<file path=docProps/app.xml><?xml version="1.0" encoding="utf-8"?>
<Properties xmlns="http://schemas.openxmlformats.org/officeDocument/2006/extended-properties" xmlns:vt="http://schemas.openxmlformats.org/officeDocument/2006/docPropsVTypes">
  <Template>Normal</Template>
  <Pages>7</Pages>
  <Words>1753</Words>
  <Characters>1912</Characters>
  <Lines>16</Lines>
  <Paragraphs>4</Paragraphs>
  <TotalTime>1</TotalTime>
  <ScaleCrop>false</ScaleCrop>
  <LinksUpToDate>false</LinksUpToDate>
  <CharactersWithSpaces>1983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2021-09-22T11:36:00Z</dcterms:created>
  <dc:creator>think</dc:creator>
  <cp:lastModifiedBy>迟宝荣</cp:lastModifiedBy>
  <dcterms:modified xsi:type="dcterms:W3CDTF">2024-03-13T07:01:36Z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5F4D0543FFD74E95BF3D17DEF519DC0D</vt:lpwstr>
  </property>
</Properties>
</file>